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D73D3" w14:textId="77777777" w:rsidR="00E24B29" w:rsidRDefault="00E24B29" w:rsidP="008D591E">
      <w:pPr>
        <w:spacing w:before="120"/>
      </w:pPr>
    </w:p>
    <w:p w14:paraId="35D13E12" w14:textId="77777777" w:rsidR="001D1EEF" w:rsidRDefault="00F03599" w:rsidP="001D1EEF">
      <w:pPr>
        <w:spacing w:after="0"/>
        <w:jc w:val="right"/>
        <w:rPr>
          <w:rFonts w:ascii="Alwyn OT Light" w:hAnsi="Alwyn OT Light"/>
          <w:sz w:val="20"/>
        </w:rPr>
      </w:pPr>
      <w:r>
        <w:rPr>
          <w:rFonts w:ascii="Alwyn OT Light" w:hAnsi="Alwyn OT Light"/>
          <w:sz w:val="20"/>
        </w:rPr>
        <w:t xml:space="preserve">Delegación Territorial de </w:t>
      </w:r>
      <w:r w:rsidR="00CE74ED">
        <w:rPr>
          <w:rFonts w:ascii="Alwyn OT Light" w:hAnsi="Alwyn OT Light"/>
          <w:sz w:val="20"/>
        </w:rPr>
        <w:t>Salamanca</w:t>
      </w:r>
    </w:p>
    <w:p w14:paraId="3746F8E7" w14:textId="2F5F0130" w:rsidR="00E24B29" w:rsidRPr="0083748B" w:rsidRDefault="00B95DEB" w:rsidP="00B97011">
      <w:pPr>
        <w:spacing w:before="400" w:after="0"/>
        <w:jc w:val="right"/>
        <w:rPr>
          <w:rFonts w:ascii="Alwyn OT Light" w:hAnsi="Alwyn OT Light"/>
          <w:sz w:val="20"/>
        </w:rPr>
      </w:pPr>
      <w:r>
        <w:rPr>
          <w:rFonts w:ascii="Alwyn OT Light" w:hAnsi="Alwyn OT Light"/>
          <w:sz w:val="20"/>
        </w:rPr>
        <w:t>2</w:t>
      </w:r>
      <w:r w:rsidR="00FE49F0">
        <w:rPr>
          <w:rFonts w:ascii="Alwyn OT Light" w:hAnsi="Alwyn OT Light"/>
          <w:sz w:val="20"/>
        </w:rPr>
        <w:t>/</w:t>
      </w:r>
      <w:r>
        <w:rPr>
          <w:rFonts w:ascii="Alwyn OT Light" w:hAnsi="Alwyn OT Light"/>
          <w:sz w:val="20"/>
        </w:rPr>
        <w:t>4</w:t>
      </w:r>
      <w:r w:rsidR="00140C26" w:rsidRPr="0083748B">
        <w:rPr>
          <w:rFonts w:ascii="Alwyn OT Light" w:hAnsi="Alwyn OT Light"/>
          <w:sz w:val="20"/>
        </w:rPr>
        <w:t>/</w:t>
      </w:r>
      <w:r w:rsidR="00CE74ED">
        <w:rPr>
          <w:rFonts w:ascii="Alwyn OT Light" w:hAnsi="Alwyn OT Light"/>
          <w:sz w:val="20"/>
        </w:rPr>
        <w:t>202</w:t>
      </w:r>
      <w:r>
        <w:rPr>
          <w:rFonts w:ascii="Alwyn OT Light" w:hAnsi="Alwyn OT Light"/>
          <w:sz w:val="20"/>
        </w:rPr>
        <w:t>5</w:t>
      </w:r>
    </w:p>
    <w:p w14:paraId="4B43B6BA" w14:textId="6609F247" w:rsidR="00F21174" w:rsidRDefault="001C460F" w:rsidP="00C45FC2">
      <w:pPr>
        <w:spacing w:before="200" w:after="0" w:line="440" w:lineRule="exact"/>
        <w:rPr>
          <w:rFonts w:ascii="Arial Narrow" w:hAnsi="Arial Narrow"/>
          <w:b/>
          <w:sz w:val="40"/>
          <w:szCs w:val="13"/>
          <w:shd w:val="clear" w:color="auto" w:fill="FFFFFF"/>
          <w:lang w:eastAsia="es-ES_tradnl"/>
        </w:rPr>
      </w:pPr>
      <w:r>
        <w:rPr>
          <w:rFonts w:ascii="Arial Narrow" w:hAnsi="Arial Narrow"/>
          <w:b/>
          <w:sz w:val="40"/>
          <w:szCs w:val="13"/>
          <w:shd w:val="clear" w:color="auto" w:fill="FFFFFF"/>
          <w:lang w:eastAsia="es-ES_tradnl"/>
        </w:rPr>
        <w:t xml:space="preserve">La Junta </w:t>
      </w:r>
      <w:r w:rsidR="00B95DEB">
        <w:rPr>
          <w:rFonts w:ascii="Arial Narrow" w:hAnsi="Arial Narrow"/>
          <w:b/>
          <w:sz w:val="40"/>
          <w:szCs w:val="13"/>
          <w:shd w:val="clear" w:color="auto" w:fill="FFFFFF"/>
          <w:lang w:eastAsia="es-ES_tradnl"/>
        </w:rPr>
        <w:t>concede ayudas por valor de 2,7 millones de euros para mejorar los servicios públicos a todos los municipios de Salamanca con menos de 20.000 habitantes</w:t>
      </w:r>
    </w:p>
    <w:p w14:paraId="06307992" w14:textId="77777777" w:rsidR="00B95DEB" w:rsidRDefault="00B95DEB" w:rsidP="005F110E">
      <w:pPr>
        <w:rPr>
          <w:rFonts w:ascii="Arial Narrow" w:hAnsi="Arial Narrow"/>
          <w:b/>
          <w:color w:val="404040" w:themeColor="text1" w:themeTint="BF"/>
          <w:sz w:val="28"/>
          <w:szCs w:val="13"/>
          <w:shd w:val="clear" w:color="auto" w:fill="FFFFFF"/>
          <w:lang w:eastAsia="es-ES_tradnl"/>
        </w:rPr>
      </w:pPr>
    </w:p>
    <w:p w14:paraId="09175B5A" w14:textId="4367F50B" w:rsidR="005F110E" w:rsidRPr="00B95DEB" w:rsidRDefault="005F110E" w:rsidP="005F110E">
      <w:pPr>
        <w:rPr>
          <w:rFonts w:ascii="Arial Narrow" w:hAnsi="Arial Narrow"/>
          <w:b/>
          <w:color w:val="404040" w:themeColor="text1" w:themeTint="BF"/>
          <w:sz w:val="28"/>
          <w:szCs w:val="13"/>
          <w:shd w:val="clear" w:color="auto" w:fill="FFFFFF"/>
          <w:lang w:eastAsia="es-ES_tradnl"/>
        </w:rPr>
      </w:pPr>
      <w:r w:rsidRPr="00B95DEB">
        <w:rPr>
          <w:rFonts w:ascii="Arial Narrow" w:hAnsi="Arial Narrow"/>
          <w:b/>
          <w:color w:val="404040" w:themeColor="text1" w:themeTint="BF"/>
          <w:sz w:val="28"/>
          <w:szCs w:val="13"/>
          <w:shd w:val="clear" w:color="auto" w:fill="FFFFFF"/>
          <w:lang w:eastAsia="es-ES_tradnl"/>
        </w:rPr>
        <w:t>El Fondo de Cohesión está diseñado para que el desarrollo de los municipios de todas las provincias de Castilla y León se produzca de una manera acompasada, priorizando a aquellas que presentan más dificultades demográficas y de empleo mediante mayores aportaciones económicas.</w:t>
      </w:r>
    </w:p>
    <w:p w14:paraId="204469BE" w14:textId="2692BA96" w:rsidR="005F110E" w:rsidRDefault="005F110E" w:rsidP="00B95DEB">
      <w:pPr>
        <w:spacing w:line="320" w:lineRule="exact"/>
        <w:rPr>
          <w:rFonts w:eastAsia="Times New Roman" w:cs="Arial"/>
          <w:sz w:val="24"/>
          <w:szCs w:val="22"/>
          <w:lang w:val="es-ES" w:eastAsia="es-ES"/>
        </w:rPr>
      </w:pPr>
      <w:r w:rsidRPr="00B95DEB">
        <w:rPr>
          <w:rFonts w:eastAsia="Times New Roman" w:cs="Arial"/>
          <w:sz w:val="24"/>
          <w:szCs w:val="22"/>
          <w:lang w:val="es-ES" w:eastAsia="es-ES"/>
        </w:rPr>
        <w:t xml:space="preserve">La Consejería de la Presidencia </w:t>
      </w:r>
      <w:r w:rsidR="00B95DEB">
        <w:rPr>
          <w:rFonts w:eastAsia="Times New Roman" w:cs="Arial"/>
          <w:sz w:val="24"/>
          <w:szCs w:val="22"/>
          <w:lang w:val="es-ES" w:eastAsia="es-ES"/>
        </w:rPr>
        <w:t>publica hoy en el Bocyl</w:t>
      </w:r>
      <w:r w:rsidRPr="00B95DEB">
        <w:rPr>
          <w:rFonts w:eastAsia="Times New Roman" w:cs="Arial"/>
          <w:sz w:val="24"/>
          <w:szCs w:val="22"/>
          <w:lang w:val="es-ES" w:eastAsia="es-ES"/>
        </w:rPr>
        <w:t xml:space="preserve"> las cuantías que corresponden a cada municipio de Castilla y León en el Fondo de Cohesión Territorial de 2025. El propósito de este Fondo es mejorar y equilibrar las condiciones de vida de las personas que residen en los municipios rurales de las nueve provincias de la </w:t>
      </w:r>
      <w:r w:rsidR="009419A1">
        <w:rPr>
          <w:rFonts w:eastAsia="Times New Roman" w:cs="Arial"/>
          <w:sz w:val="24"/>
          <w:szCs w:val="22"/>
          <w:lang w:val="es-ES" w:eastAsia="es-ES"/>
        </w:rPr>
        <w:t>Co</w:t>
      </w:r>
      <w:r w:rsidRPr="00B95DEB">
        <w:rPr>
          <w:rFonts w:eastAsia="Times New Roman" w:cs="Arial"/>
          <w:sz w:val="24"/>
          <w:szCs w:val="22"/>
          <w:lang w:val="es-ES" w:eastAsia="es-ES"/>
        </w:rPr>
        <w:t>munidad, así como garantizar y modernizar los servicios públicos locales, y crear oportunidades de empleo. En definitiva, contribuir a poner freno a la despoblación.</w:t>
      </w:r>
    </w:p>
    <w:p w14:paraId="1DC49EA7" w14:textId="732838CC" w:rsidR="00B95DEB" w:rsidRPr="00B95DEB" w:rsidRDefault="00B95DEB" w:rsidP="00B95DEB">
      <w:pPr>
        <w:spacing w:line="320" w:lineRule="exact"/>
        <w:rPr>
          <w:rFonts w:eastAsia="Times New Roman" w:cs="Arial"/>
          <w:sz w:val="24"/>
          <w:szCs w:val="22"/>
          <w:lang w:val="es-ES" w:eastAsia="es-ES"/>
        </w:rPr>
      </w:pPr>
      <w:r>
        <w:rPr>
          <w:rFonts w:eastAsia="Times New Roman" w:cs="Arial"/>
          <w:sz w:val="24"/>
          <w:szCs w:val="22"/>
          <w:lang w:val="es-ES" w:eastAsia="es-ES"/>
        </w:rPr>
        <w:t xml:space="preserve">La provincia de Salamanca recibe 2,7 millones de euros que se reparten entre </w:t>
      </w:r>
      <w:r w:rsidR="00186726">
        <w:rPr>
          <w:rFonts w:eastAsia="Times New Roman" w:cs="Arial"/>
          <w:sz w:val="24"/>
          <w:szCs w:val="22"/>
          <w:lang w:val="es-ES" w:eastAsia="es-ES"/>
        </w:rPr>
        <w:t>361 municipios -todos menos la capital- que tienen menos de 20.000 habitantes.</w:t>
      </w:r>
      <w:r w:rsidR="009419A1">
        <w:rPr>
          <w:rFonts w:eastAsia="Times New Roman" w:cs="Arial"/>
          <w:sz w:val="24"/>
          <w:szCs w:val="22"/>
          <w:lang w:val="es-ES" w:eastAsia="es-ES"/>
        </w:rPr>
        <w:t xml:space="preserve"> Los municipios que tienen más de 1.000 habitantes, que son 28, reciben 1.444.889 euros. Los de menos de 1.000, que son 333 pueblos, reciben 1.308.404 euros.</w:t>
      </w:r>
    </w:p>
    <w:p w14:paraId="7B9950E5" w14:textId="77777777" w:rsidR="005F110E" w:rsidRPr="00B95DEB" w:rsidRDefault="005F110E" w:rsidP="00B95DEB">
      <w:pPr>
        <w:spacing w:line="320" w:lineRule="exact"/>
        <w:rPr>
          <w:rFonts w:eastAsia="Times New Roman" w:cs="Arial"/>
          <w:sz w:val="24"/>
          <w:szCs w:val="22"/>
          <w:lang w:val="es-ES" w:eastAsia="es-ES"/>
        </w:rPr>
      </w:pPr>
      <w:r w:rsidRPr="00B95DEB">
        <w:rPr>
          <w:rFonts w:eastAsia="Times New Roman" w:cs="Arial"/>
          <w:sz w:val="24"/>
          <w:szCs w:val="22"/>
          <w:lang w:val="es-ES" w:eastAsia="es-ES"/>
        </w:rPr>
        <w:t>En Castilla y León existen 2.232 municipios con menos de 20.000 habitantes, lo que representa al 99,3% de los 2.248 municipios de la comunidad autónoma, y su población, más de 1.130.000 personas, constituye el 47,5% del total de la población castellana y leonesa. Estos datos reflejan la fuerte concentración de población en las áreas urbanas y la notable dispersión que caracteriza al medio rural, donde la baja densidad de población provoca que los pequeños ayuntamientos tengan que hacer un gran esfuerzo por mantener sus servicios públicos. Esta situación, a su vez, puede afectar a la actividad económica local y a la tasa de empleo de estos municipios.</w:t>
      </w:r>
    </w:p>
    <w:p w14:paraId="43C16E35" w14:textId="77777777" w:rsidR="005F110E" w:rsidRPr="00B95DEB" w:rsidRDefault="005F110E" w:rsidP="00B95DEB">
      <w:pPr>
        <w:spacing w:line="320" w:lineRule="exact"/>
        <w:rPr>
          <w:rFonts w:eastAsia="Times New Roman" w:cs="Arial"/>
          <w:sz w:val="24"/>
          <w:szCs w:val="22"/>
          <w:lang w:val="es-ES" w:eastAsia="es-ES"/>
        </w:rPr>
      </w:pPr>
      <w:r w:rsidRPr="00B95DEB">
        <w:rPr>
          <w:rFonts w:eastAsia="Times New Roman" w:cs="Arial"/>
          <w:sz w:val="24"/>
          <w:szCs w:val="22"/>
          <w:lang w:val="es-ES" w:eastAsia="es-ES"/>
        </w:rPr>
        <w:t>Esta realidad demográfica es la base sobre la cual la Junta de Castilla y León ha diseñado el criterio de distribución de este Fondo de Cohesión entre las diferentes provincias. Así, serán las provincias más despobladas y con mayores índices de desempleo las que más beneficiadas se verán de esta distribución. En concreto, un 40% de estos 20 millones de euros se distribuye de acuerdo con estos dos criterios de corrección, cuantificados en las tasas de paro y de despoblación de cada provincia.</w:t>
      </w:r>
    </w:p>
    <w:p w14:paraId="6EADBB65" w14:textId="77777777" w:rsidR="005F110E" w:rsidRPr="00B95DEB" w:rsidRDefault="005F110E" w:rsidP="00B95DEB">
      <w:pPr>
        <w:spacing w:line="320" w:lineRule="exact"/>
        <w:rPr>
          <w:rFonts w:eastAsia="Times New Roman" w:cs="Arial"/>
          <w:sz w:val="24"/>
          <w:szCs w:val="22"/>
          <w:lang w:val="es-ES" w:eastAsia="es-ES"/>
        </w:rPr>
      </w:pPr>
      <w:r w:rsidRPr="00B95DEB">
        <w:rPr>
          <w:rFonts w:eastAsia="Times New Roman" w:cs="Arial"/>
          <w:sz w:val="24"/>
          <w:szCs w:val="22"/>
          <w:lang w:val="es-ES" w:eastAsia="es-ES"/>
        </w:rPr>
        <w:t xml:space="preserve">Por esta razón, varias provincias recibirán un porcentaje mayor del Fondo de Cohesión respecto a lo que habrían obtenido si solamente se hubieran aplicado los criterios </w:t>
      </w:r>
      <w:r w:rsidRPr="00B95DEB">
        <w:rPr>
          <w:rFonts w:eastAsia="Times New Roman" w:cs="Arial"/>
          <w:sz w:val="24"/>
          <w:szCs w:val="22"/>
          <w:lang w:val="es-ES" w:eastAsia="es-ES"/>
        </w:rPr>
        <w:lastRenderedPageBreak/>
        <w:t>generales autonómicos de la financiación local: Soria (que recibe un 79% más), Zamora (un 39% más), Ávila (un 19% más) y Palencia (un 14% más)</w:t>
      </w:r>
    </w:p>
    <w:p w14:paraId="19FB1139" w14:textId="77777777" w:rsidR="005F110E" w:rsidRPr="00B95DEB" w:rsidRDefault="005F110E" w:rsidP="00B95DEB">
      <w:pPr>
        <w:spacing w:line="320" w:lineRule="exact"/>
        <w:rPr>
          <w:rFonts w:eastAsia="Times New Roman" w:cs="Arial"/>
          <w:sz w:val="24"/>
          <w:szCs w:val="22"/>
          <w:lang w:val="es-ES" w:eastAsia="es-ES"/>
        </w:rPr>
      </w:pPr>
      <w:r w:rsidRPr="00B95DEB">
        <w:rPr>
          <w:rFonts w:eastAsia="Times New Roman" w:cs="Arial"/>
          <w:sz w:val="24"/>
          <w:szCs w:val="22"/>
          <w:lang w:val="es-ES" w:eastAsia="es-ES"/>
        </w:rPr>
        <w:t>Estos factores de corrección introducen un componente solidario entre las distintas provincias de Castilla y León, lo cual permite que el Fondo de Cohesión sea una herramienta útil y eficaz para avanzar hacia el equilibrio en las condiciones de vida en toda la comunidad.</w:t>
      </w:r>
    </w:p>
    <w:p w14:paraId="4FD0712D" w14:textId="7616C1D1" w:rsidR="005F110E" w:rsidRPr="00B95DEB" w:rsidRDefault="009419A1" w:rsidP="00B95DEB">
      <w:pPr>
        <w:spacing w:line="320" w:lineRule="exact"/>
        <w:rPr>
          <w:rFonts w:eastAsia="Times New Roman" w:cs="Arial"/>
          <w:sz w:val="24"/>
          <w:szCs w:val="22"/>
          <w:lang w:val="es-ES" w:eastAsia="es-ES"/>
        </w:rPr>
      </w:pPr>
      <w:r>
        <w:rPr>
          <w:rFonts w:eastAsia="Times New Roman" w:cs="Arial"/>
          <w:sz w:val="24"/>
          <w:szCs w:val="22"/>
          <w:lang w:val="es-ES" w:eastAsia="es-ES"/>
        </w:rPr>
        <w:t>En el conjunto de la Comunidad, d</w:t>
      </w:r>
      <w:r w:rsidR="005F110E" w:rsidRPr="00B95DEB">
        <w:rPr>
          <w:rFonts w:eastAsia="Times New Roman" w:cs="Arial"/>
          <w:sz w:val="24"/>
          <w:szCs w:val="22"/>
          <w:lang w:val="es-ES" w:eastAsia="es-ES"/>
        </w:rPr>
        <w:t>e los 20 millones de euros del Fondo de Cohesión, los municipios con población superior a 1.000 habitantes e inferior a 20.000 habitantes recibirán ayudas por un importe total de casi 10.200.000 euros, mientras que los municipios con población inferior a 1.000 habitantes recibirán un total de más de 9.800.000 euros.</w:t>
      </w:r>
    </w:p>
    <w:p w14:paraId="0A92B167" w14:textId="77777777" w:rsidR="005F110E" w:rsidRPr="00B95DEB" w:rsidRDefault="005F110E" w:rsidP="00B95DEB">
      <w:pPr>
        <w:spacing w:line="320" w:lineRule="exact"/>
        <w:rPr>
          <w:rFonts w:eastAsia="Times New Roman" w:cs="Arial"/>
          <w:sz w:val="24"/>
          <w:szCs w:val="22"/>
          <w:lang w:val="es-ES" w:eastAsia="es-ES"/>
        </w:rPr>
      </w:pPr>
      <w:r w:rsidRPr="00B95DEB">
        <w:rPr>
          <w:rFonts w:eastAsia="Times New Roman" w:cs="Arial"/>
          <w:sz w:val="24"/>
          <w:szCs w:val="22"/>
          <w:lang w:val="es-ES" w:eastAsia="es-ES"/>
        </w:rPr>
        <w:t>Cada municipio beneficiario del Fondo de Cohesión Territorial deberá destinar la cuantía percibida a inversiones en infraestructura y equipamiento, ya sea de servicios municipales mínimos y obligatorios, o de servicios de interés comunitario local. Los trabajos que se desarrollen en los diferentes municipios gracias a estas ayudas representan, además, una buena oportunidad para las empresas locales que participen en la ejecución de los diferentes proyectos.</w:t>
      </w:r>
    </w:p>
    <w:p w14:paraId="38AC7F08" w14:textId="77777777" w:rsidR="005F110E" w:rsidRPr="00B95DEB" w:rsidRDefault="005F110E" w:rsidP="00B95DEB">
      <w:pPr>
        <w:spacing w:line="320" w:lineRule="exact"/>
        <w:rPr>
          <w:rFonts w:eastAsia="Times New Roman" w:cs="Arial"/>
          <w:sz w:val="24"/>
          <w:szCs w:val="22"/>
          <w:lang w:val="es-ES" w:eastAsia="es-ES"/>
        </w:rPr>
      </w:pPr>
      <w:r w:rsidRPr="00B95DEB">
        <w:rPr>
          <w:rFonts w:eastAsia="Times New Roman" w:cs="Arial"/>
          <w:sz w:val="24"/>
          <w:szCs w:val="22"/>
          <w:lang w:val="es-ES" w:eastAsia="es-ES"/>
        </w:rPr>
        <w:t>Estos proyectos, de carácter general, abarcan trabajos tan variados y necesarios para los municipios como el arreglo de calles, el abastecimiento de agua, la instalación de alumbrado, el mantenimiento de parques, etcétera.</w:t>
      </w:r>
    </w:p>
    <w:p w14:paraId="4C921BBD" w14:textId="77777777" w:rsidR="005F110E" w:rsidRPr="00353788" w:rsidRDefault="005F110E" w:rsidP="00B95DEB">
      <w:pPr>
        <w:spacing w:line="320" w:lineRule="exact"/>
        <w:rPr>
          <w:rFonts w:eastAsia="Times New Roman" w:cs="Arial"/>
          <w:b/>
          <w:bCs/>
          <w:sz w:val="24"/>
          <w:szCs w:val="22"/>
          <w:lang w:val="es-ES" w:eastAsia="es-ES"/>
        </w:rPr>
      </w:pPr>
      <w:r w:rsidRPr="00353788">
        <w:rPr>
          <w:rFonts w:eastAsia="Times New Roman" w:cs="Arial"/>
          <w:b/>
          <w:bCs/>
          <w:sz w:val="24"/>
          <w:szCs w:val="22"/>
          <w:lang w:val="es-ES" w:eastAsia="es-ES"/>
        </w:rPr>
        <w:t>Cofinanciación: un esfuerzo conjunto entre administraciones</w:t>
      </w:r>
    </w:p>
    <w:p w14:paraId="1C3F0697" w14:textId="77777777" w:rsidR="005F110E" w:rsidRPr="00B95DEB" w:rsidRDefault="005F110E" w:rsidP="00B95DEB">
      <w:pPr>
        <w:spacing w:line="320" w:lineRule="exact"/>
        <w:rPr>
          <w:rFonts w:eastAsia="Times New Roman" w:cs="Arial"/>
          <w:sz w:val="24"/>
          <w:szCs w:val="22"/>
          <w:lang w:val="es-ES" w:eastAsia="es-ES"/>
        </w:rPr>
      </w:pPr>
      <w:r w:rsidRPr="00B95DEB">
        <w:rPr>
          <w:rFonts w:eastAsia="Times New Roman" w:cs="Arial"/>
          <w:sz w:val="24"/>
          <w:szCs w:val="22"/>
          <w:lang w:val="es-ES" w:eastAsia="es-ES"/>
        </w:rPr>
        <w:t>El Fondo de Cohesión Territorial fomenta la colaboración económica de la Junta de Castilla y León con otras dos administraciones públicas clave para el buen funcionamiento de los municipios, y que están más familiarizadas con la realidad local que cualquier otra administración: los propios ayuntamientos y las diputaciones. De este modo, las inversiones también permiten la movilización de fondos de estas administraciones, necesarios para completar la financiación de los diferentes proyectos.</w:t>
      </w:r>
    </w:p>
    <w:p w14:paraId="384C81A3" w14:textId="5293C32D" w:rsidR="00891979" w:rsidRPr="00B95DEB" w:rsidRDefault="00891979" w:rsidP="00891979">
      <w:pPr>
        <w:spacing w:line="320" w:lineRule="exact"/>
        <w:rPr>
          <w:rFonts w:eastAsia="Times New Roman" w:cs="Arial"/>
          <w:sz w:val="24"/>
          <w:szCs w:val="22"/>
          <w:lang w:val="es-ES" w:eastAsia="es-ES"/>
        </w:rPr>
      </w:pPr>
      <w:r>
        <w:rPr>
          <w:rFonts w:eastAsia="Times New Roman" w:cs="Arial"/>
          <w:sz w:val="24"/>
          <w:szCs w:val="22"/>
          <w:lang w:val="es-ES" w:eastAsia="es-ES"/>
        </w:rPr>
        <w:t>En la provincia de Salamanca</w:t>
      </w:r>
      <w:r w:rsidRPr="00B95DEB">
        <w:rPr>
          <w:rFonts w:eastAsia="Times New Roman" w:cs="Arial"/>
          <w:sz w:val="24"/>
          <w:szCs w:val="22"/>
          <w:lang w:val="es-ES" w:eastAsia="es-ES"/>
        </w:rPr>
        <w:t xml:space="preserve">, para los </w:t>
      </w:r>
      <w:r>
        <w:rPr>
          <w:rFonts w:eastAsia="Times New Roman" w:cs="Arial"/>
          <w:sz w:val="24"/>
          <w:szCs w:val="22"/>
          <w:lang w:val="es-ES" w:eastAsia="es-ES"/>
        </w:rPr>
        <w:t>333</w:t>
      </w:r>
      <w:r w:rsidRPr="00B95DEB">
        <w:rPr>
          <w:rFonts w:eastAsia="Times New Roman" w:cs="Arial"/>
          <w:sz w:val="24"/>
          <w:szCs w:val="22"/>
          <w:lang w:val="es-ES" w:eastAsia="es-ES"/>
        </w:rPr>
        <w:t xml:space="preserve"> municipios menores de 1.000 habitantes, la participación de la Junta supondrá un 50% de la inversión total. Otro 25% lo asumirán </w:t>
      </w:r>
      <w:r>
        <w:rPr>
          <w:rFonts w:eastAsia="Times New Roman" w:cs="Arial"/>
          <w:sz w:val="24"/>
          <w:szCs w:val="22"/>
          <w:lang w:val="es-ES" w:eastAsia="es-ES"/>
        </w:rPr>
        <w:t>la Diputación Provincial de Salamanca</w:t>
      </w:r>
      <w:r w:rsidRPr="00B95DEB">
        <w:rPr>
          <w:rFonts w:eastAsia="Times New Roman" w:cs="Arial"/>
          <w:sz w:val="24"/>
          <w:szCs w:val="22"/>
          <w:lang w:val="es-ES" w:eastAsia="es-ES"/>
        </w:rPr>
        <w:t xml:space="preserve"> (que gestionará estas ayudas), y el otro 25%, los ayuntamientos.</w:t>
      </w:r>
    </w:p>
    <w:p w14:paraId="6A16167D" w14:textId="77777777" w:rsidR="00891979" w:rsidRDefault="00891979" w:rsidP="00891979">
      <w:pPr>
        <w:spacing w:line="320" w:lineRule="exact"/>
        <w:rPr>
          <w:rFonts w:eastAsia="Times New Roman" w:cs="Arial"/>
          <w:sz w:val="24"/>
          <w:szCs w:val="22"/>
          <w:lang w:val="es-ES" w:eastAsia="es-ES"/>
        </w:rPr>
      </w:pPr>
      <w:r w:rsidRPr="00B95DEB">
        <w:rPr>
          <w:rFonts w:eastAsia="Times New Roman" w:cs="Arial"/>
          <w:sz w:val="24"/>
          <w:szCs w:val="22"/>
          <w:lang w:val="es-ES" w:eastAsia="es-ES"/>
        </w:rPr>
        <w:t xml:space="preserve">Para los </w:t>
      </w:r>
      <w:r>
        <w:rPr>
          <w:rFonts w:eastAsia="Times New Roman" w:cs="Arial"/>
          <w:sz w:val="24"/>
          <w:szCs w:val="22"/>
          <w:lang w:val="es-ES" w:eastAsia="es-ES"/>
        </w:rPr>
        <w:t>28</w:t>
      </w:r>
      <w:r w:rsidRPr="00B95DEB">
        <w:rPr>
          <w:rFonts w:eastAsia="Times New Roman" w:cs="Arial"/>
          <w:sz w:val="24"/>
          <w:szCs w:val="22"/>
          <w:lang w:val="es-ES" w:eastAsia="es-ES"/>
        </w:rPr>
        <w:t xml:space="preserve"> municipios de entre 1.000 y 20.000 habitantes, la Junta financiará el 75% de la inversión total, y los ayuntamientos, el 25% restante. En este caso, la Dirección de Administración Local de la Consejería de la Presidencia será la encargada de gestionar los fondos.</w:t>
      </w:r>
    </w:p>
    <w:p w14:paraId="4A82831C" w14:textId="54EF3650" w:rsidR="005F110E" w:rsidRPr="00B95DEB" w:rsidRDefault="005F110E" w:rsidP="00B95DEB">
      <w:pPr>
        <w:spacing w:line="320" w:lineRule="exact"/>
        <w:rPr>
          <w:rFonts w:eastAsia="Times New Roman" w:cs="Arial"/>
          <w:sz w:val="24"/>
          <w:szCs w:val="22"/>
          <w:lang w:val="es-ES" w:eastAsia="es-ES"/>
        </w:rPr>
      </w:pPr>
      <w:r w:rsidRPr="00B95DEB">
        <w:rPr>
          <w:rFonts w:eastAsia="Times New Roman" w:cs="Arial"/>
          <w:sz w:val="24"/>
          <w:szCs w:val="22"/>
          <w:lang w:val="es-ES" w:eastAsia="es-ES"/>
        </w:rPr>
        <w:t>Esta colaboración interadministrativa, que permite a las entidades locales incrementar el rendimiento de sus fondos propios, supone que el importe total de recursos económicos movilizados con estos 20 millones ahora convocados</w:t>
      </w:r>
      <w:r w:rsidR="00891979">
        <w:rPr>
          <w:rFonts w:eastAsia="Times New Roman" w:cs="Arial"/>
          <w:sz w:val="24"/>
          <w:szCs w:val="22"/>
          <w:lang w:val="es-ES" w:eastAsia="es-ES"/>
        </w:rPr>
        <w:t xml:space="preserve"> para las nueve provincias de la Comunidad</w:t>
      </w:r>
      <w:r w:rsidRPr="00B95DEB">
        <w:rPr>
          <w:rFonts w:eastAsia="Times New Roman" w:cs="Arial"/>
          <w:sz w:val="24"/>
          <w:szCs w:val="22"/>
          <w:lang w:val="es-ES" w:eastAsia="es-ES"/>
        </w:rPr>
        <w:t xml:space="preserve"> vaya a ascender, como mínimo, a 33,2 millones de euros.</w:t>
      </w:r>
    </w:p>
    <w:p w14:paraId="0BECA4D0" w14:textId="5F02165F" w:rsidR="005F110E" w:rsidRPr="00B95DEB" w:rsidRDefault="009419A1" w:rsidP="00B95DEB">
      <w:pPr>
        <w:spacing w:line="320" w:lineRule="exact"/>
        <w:rPr>
          <w:rFonts w:eastAsia="Times New Roman" w:cs="Arial"/>
          <w:sz w:val="24"/>
          <w:szCs w:val="22"/>
          <w:lang w:val="es-ES" w:eastAsia="es-ES"/>
        </w:rPr>
      </w:pPr>
      <w:r>
        <w:rPr>
          <w:rFonts w:eastAsia="Times New Roman" w:cs="Arial"/>
          <w:sz w:val="24"/>
          <w:szCs w:val="22"/>
          <w:lang w:val="es-ES" w:eastAsia="es-ES"/>
        </w:rPr>
        <w:lastRenderedPageBreak/>
        <w:t>El delegado territorial, Eloy Ruiz, asegura que</w:t>
      </w:r>
      <w:r w:rsidR="005F110E" w:rsidRPr="00B95DEB">
        <w:rPr>
          <w:rFonts w:eastAsia="Times New Roman" w:cs="Arial"/>
          <w:sz w:val="24"/>
          <w:szCs w:val="22"/>
          <w:lang w:val="es-ES" w:eastAsia="es-ES"/>
        </w:rPr>
        <w:t xml:space="preserve"> </w:t>
      </w:r>
      <w:r>
        <w:rPr>
          <w:rFonts w:eastAsia="Times New Roman" w:cs="Arial"/>
          <w:sz w:val="24"/>
          <w:szCs w:val="22"/>
          <w:lang w:val="es-ES" w:eastAsia="es-ES"/>
        </w:rPr>
        <w:t>“</w:t>
      </w:r>
      <w:r w:rsidR="005F110E" w:rsidRPr="00B95DEB">
        <w:rPr>
          <w:rFonts w:eastAsia="Times New Roman" w:cs="Arial"/>
          <w:sz w:val="24"/>
          <w:szCs w:val="22"/>
          <w:lang w:val="es-ES" w:eastAsia="es-ES"/>
        </w:rPr>
        <w:t>la Junta de Castilla y León reafirma su compromiso con un modelo de financiación justo y adaptado a las necesidades territoriales, repartido en función de los criterios que más afectan a la realidad local, poniendo en un primer plano las necesidades y las capacidades de cada Administración, y creando un modelo de colaboración entre las administraciones en beneficio de los vecinos del medio rura</w:t>
      </w:r>
      <w:r>
        <w:rPr>
          <w:rFonts w:eastAsia="Times New Roman" w:cs="Arial"/>
          <w:sz w:val="24"/>
          <w:szCs w:val="22"/>
          <w:lang w:val="es-ES" w:eastAsia="es-ES"/>
        </w:rPr>
        <w:t>l”.</w:t>
      </w:r>
    </w:p>
    <w:sectPr w:rsidR="005F110E" w:rsidRPr="00B95DEB" w:rsidSect="008A1DBB">
      <w:footerReference w:type="even" r:id="rId8"/>
      <w:footerReference w:type="default" r:id="rId9"/>
      <w:headerReference w:type="first" r:id="rId10"/>
      <w:footerReference w:type="first" r:id="rId11"/>
      <w:pgSz w:w="11900" w:h="16840"/>
      <w:pgMar w:top="1418" w:right="1276" w:bottom="1134" w:left="1418"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E6E67" w14:textId="77777777" w:rsidR="008521E3" w:rsidRDefault="008521E3">
      <w:pPr>
        <w:spacing w:after="0"/>
      </w:pPr>
      <w:r>
        <w:separator/>
      </w:r>
    </w:p>
  </w:endnote>
  <w:endnote w:type="continuationSeparator" w:id="0">
    <w:p w14:paraId="235A7877" w14:textId="77777777" w:rsidR="008521E3" w:rsidRDefault="008521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lwyn OT Light">
    <w:altName w:val="Corbel"/>
    <w:charset w:val="00"/>
    <w:family w:val="auto"/>
    <w:pitch w:val="variable"/>
    <w:sig w:usb0="00000001" w:usb1="4000204A"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3976B" w14:textId="77777777" w:rsidR="0050597F" w:rsidRDefault="0050597F" w:rsidP="001546F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C4D2FE" w14:textId="77777777" w:rsidR="0050597F" w:rsidRDefault="0050597F" w:rsidP="0087708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57B8" w14:textId="77777777" w:rsidR="0050597F" w:rsidRPr="001546FA" w:rsidRDefault="0050597F" w:rsidP="001546FA">
    <w:pPr>
      <w:pStyle w:val="Piedepgina"/>
      <w:framePr w:wrap="around" w:vAnchor="text" w:hAnchor="margin" w:xAlign="center" w:y="1"/>
      <w:rPr>
        <w:rStyle w:val="Nmerodepgina"/>
      </w:rPr>
    </w:pPr>
    <w:r w:rsidRPr="001546FA">
      <w:rPr>
        <w:rStyle w:val="Nmerodepgina"/>
        <w:sz w:val="18"/>
      </w:rPr>
      <w:fldChar w:fldCharType="begin"/>
    </w:r>
    <w:r w:rsidRPr="001546FA">
      <w:rPr>
        <w:rStyle w:val="Nmerodepgina"/>
        <w:sz w:val="18"/>
      </w:rPr>
      <w:instrText xml:space="preserve">PAGE  </w:instrText>
    </w:r>
    <w:r w:rsidRPr="001546FA">
      <w:rPr>
        <w:rStyle w:val="Nmerodepgina"/>
        <w:sz w:val="18"/>
      </w:rPr>
      <w:fldChar w:fldCharType="separate"/>
    </w:r>
    <w:r w:rsidR="002D2CC4">
      <w:rPr>
        <w:rStyle w:val="Nmerodepgina"/>
        <w:noProof/>
        <w:sz w:val="18"/>
      </w:rPr>
      <w:t>3</w:t>
    </w:r>
    <w:r w:rsidRPr="001546FA">
      <w:rPr>
        <w:rStyle w:val="Nmerodepgina"/>
        <w:sz w:val="18"/>
      </w:rPr>
      <w:fldChar w:fldCharType="end"/>
    </w:r>
  </w:p>
  <w:p w14:paraId="7FE619BD" w14:textId="77777777" w:rsidR="0050597F" w:rsidRDefault="0050597F" w:rsidP="00877087">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2762" w14:textId="77777777" w:rsidR="0050597F" w:rsidRPr="001546FA" w:rsidRDefault="0050597F" w:rsidP="001546FA">
    <w:pPr>
      <w:pStyle w:val="Piedepgina"/>
      <w:framePr w:wrap="around" w:vAnchor="text" w:hAnchor="page" w:x="6099" w:y="-93"/>
      <w:rPr>
        <w:rStyle w:val="Nmerodepgina"/>
      </w:rPr>
    </w:pPr>
    <w:r w:rsidRPr="001546FA">
      <w:rPr>
        <w:rStyle w:val="Nmerodepgina"/>
        <w:sz w:val="18"/>
      </w:rPr>
      <w:fldChar w:fldCharType="begin"/>
    </w:r>
    <w:r w:rsidRPr="001546FA">
      <w:rPr>
        <w:rStyle w:val="Nmerodepgina"/>
        <w:sz w:val="18"/>
      </w:rPr>
      <w:instrText xml:space="preserve">PAGE  </w:instrText>
    </w:r>
    <w:r w:rsidRPr="001546FA">
      <w:rPr>
        <w:rStyle w:val="Nmerodepgina"/>
        <w:sz w:val="18"/>
      </w:rPr>
      <w:fldChar w:fldCharType="separate"/>
    </w:r>
    <w:r w:rsidR="00BC2F5E">
      <w:rPr>
        <w:rStyle w:val="Nmerodepgina"/>
        <w:noProof/>
        <w:sz w:val="18"/>
      </w:rPr>
      <w:t>1</w:t>
    </w:r>
    <w:r w:rsidRPr="001546FA">
      <w:rPr>
        <w:rStyle w:val="Nmerodepgina"/>
        <w:sz w:val="18"/>
      </w:rPr>
      <w:fldChar w:fldCharType="end"/>
    </w:r>
  </w:p>
  <w:p w14:paraId="0678E2AD" w14:textId="77777777" w:rsidR="0050597F" w:rsidRDefault="005059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52047" w14:textId="77777777" w:rsidR="008521E3" w:rsidRDefault="008521E3">
      <w:pPr>
        <w:spacing w:after="0"/>
      </w:pPr>
      <w:r>
        <w:separator/>
      </w:r>
    </w:p>
  </w:footnote>
  <w:footnote w:type="continuationSeparator" w:id="0">
    <w:p w14:paraId="0AF6C3C8" w14:textId="77777777" w:rsidR="008521E3" w:rsidRDefault="008521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77801" w14:textId="77777777" w:rsidR="0050597F" w:rsidRDefault="0050597F">
    <w:pPr>
      <w:pStyle w:val="Encabezado"/>
    </w:pPr>
    <w:r>
      <w:rPr>
        <w:noProof/>
        <w:lang w:val="es-ES" w:eastAsia="es-ES"/>
      </w:rPr>
      <w:drawing>
        <wp:anchor distT="0" distB="0" distL="114300" distR="114300" simplePos="0" relativeHeight="251658240" behindDoc="1" locked="0" layoutInCell="1" allowOverlap="1" wp14:anchorId="3B9156EA" wp14:editId="51C0289F">
          <wp:simplePos x="0" y="0"/>
          <wp:positionH relativeFrom="column">
            <wp:posOffset>-915670</wp:posOffset>
          </wp:positionH>
          <wp:positionV relativeFrom="paragraph">
            <wp:posOffset>-452120</wp:posOffset>
          </wp:positionV>
          <wp:extent cx="7584666" cy="10728960"/>
          <wp:effectExtent l="25400" t="0" r="9934" b="0"/>
          <wp:wrapNone/>
          <wp:docPr id="4" name="Imagen 4" descr="Consejeria y otra entidad_hoj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ejeria y otra entidad_hoja 1.jpg"/>
                  <pic:cNvPicPr/>
                </pic:nvPicPr>
                <pic:blipFill>
                  <a:blip r:embed="rId1"/>
                  <a:stretch>
                    <a:fillRect/>
                  </a:stretch>
                </pic:blipFill>
                <pic:spPr>
                  <a:xfrm>
                    <a:off x="0" y="0"/>
                    <a:ext cx="7586990" cy="107322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0A8F"/>
    <w:multiLevelType w:val="multilevel"/>
    <w:tmpl w:val="6E900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33950"/>
    <w:multiLevelType w:val="multilevel"/>
    <w:tmpl w:val="E718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33178"/>
    <w:multiLevelType w:val="hybridMultilevel"/>
    <w:tmpl w:val="BBA2D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79E0D84"/>
    <w:multiLevelType w:val="multilevel"/>
    <w:tmpl w:val="7EB08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46DAA"/>
    <w:multiLevelType w:val="multilevel"/>
    <w:tmpl w:val="C42C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AF4317"/>
    <w:multiLevelType w:val="multilevel"/>
    <w:tmpl w:val="2916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C1542B"/>
    <w:multiLevelType w:val="hybridMultilevel"/>
    <w:tmpl w:val="CDDC308A"/>
    <w:lvl w:ilvl="0" w:tplc="1310A350">
      <w:numFmt w:val="bullet"/>
      <w:lvlText w:val="-"/>
      <w:lvlJc w:val="left"/>
      <w:pPr>
        <w:ind w:left="720" w:hanging="360"/>
      </w:pPr>
      <w:rPr>
        <w:rFonts w:ascii="Arial Narrow" w:eastAsiaTheme="minorHAnsi" w:hAnsi="Arial Narrow" w:cstheme="minorBidi"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624F363E"/>
    <w:multiLevelType w:val="hybridMultilevel"/>
    <w:tmpl w:val="388A91BE"/>
    <w:lvl w:ilvl="0" w:tplc="0C0A000D">
      <w:start w:val="1"/>
      <w:numFmt w:val="bullet"/>
      <w:lvlText w:val=""/>
      <w:lvlJc w:val="left"/>
      <w:pPr>
        <w:ind w:left="1429" w:hanging="360"/>
      </w:pPr>
      <w:rPr>
        <w:rFonts w:ascii="Wingdings" w:hAnsi="Wingdings" w:hint="default"/>
      </w:rPr>
    </w:lvl>
    <w:lvl w:ilvl="1" w:tplc="0C0A0003">
      <w:start w:val="1"/>
      <w:numFmt w:val="bullet"/>
      <w:lvlText w:val="o"/>
      <w:lvlJc w:val="left"/>
      <w:pPr>
        <w:ind w:left="2149" w:hanging="360"/>
      </w:pPr>
      <w:rPr>
        <w:rFonts w:ascii="Courier New" w:hAnsi="Courier New" w:cs="Courier New" w:hint="default"/>
      </w:rPr>
    </w:lvl>
    <w:lvl w:ilvl="2" w:tplc="0C0A0005">
      <w:start w:val="1"/>
      <w:numFmt w:val="bullet"/>
      <w:lvlText w:val=""/>
      <w:lvlJc w:val="left"/>
      <w:pPr>
        <w:ind w:left="2869" w:hanging="360"/>
      </w:pPr>
      <w:rPr>
        <w:rFonts w:ascii="Wingdings" w:hAnsi="Wingdings" w:hint="default"/>
      </w:rPr>
    </w:lvl>
    <w:lvl w:ilvl="3" w:tplc="0C0A0001">
      <w:start w:val="1"/>
      <w:numFmt w:val="bullet"/>
      <w:lvlText w:val=""/>
      <w:lvlJc w:val="left"/>
      <w:pPr>
        <w:ind w:left="3589" w:hanging="360"/>
      </w:pPr>
      <w:rPr>
        <w:rFonts w:ascii="Symbol" w:hAnsi="Symbol" w:hint="default"/>
      </w:rPr>
    </w:lvl>
    <w:lvl w:ilvl="4" w:tplc="0C0A0003">
      <w:start w:val="1"/>
      <w:numFmt w:val="bullet"/>
      <w:lvlText w:val="o"/>
      <w:lvlJc w:val="left"/>
      <w:pPr>
        <w:ind w:left="4309" w:hanging="360"/>
      </w:pPr>
      <w:rPr>
        <w:rFonts w:ascii="Courier New" w:hAnsi="Courier New" w:cs="Courier New" w:hint="default"/>
      </w:rPr>
    </w:lvl>
    <w:lvl w:ilvl="5" w:tplc="0C0A0005">
      <w:start w:val="1"/>
      <w:numFmt w:val="bullet"/>
      <w:lvlText w:val=""/>
      <w:lvlJc w:val="left"/>
      <w:pPr>
        <w:ind w:left="5029" w:hanging="360"/>
      </w:pPr>
      <w:rPr>
        <w:rFonts w:ascii="Wingdings" w:hAnsi="Wingdings" w:hint="default"/>
      </w:rPr>
    </w:lvl>
    <w:lvl w:ilvl="6" w:tplc="0C0A0001">
      <w:start w:val="1"/>
      <w:numFmt w:val="bullet"/>
      <w:lvlText w:val=""/>
      <w:lvlJc w:val="left"/>
      <w:pPr>
        <w:ind w:left="5749" w:hanging="360"/>
      </w:pPr>
      <w:rPr>
        <w:rFonts w:ascii="Symbol" w:hAnsi="Symbol" w:hint="default"/>
      </w:rPr>
    </w:lvl>
    <w:lvl w:ilvl="7" w:tplc="0C0A0003">
      <w:start w:val="1"/>
      <w:numFmt w:val="bullet"/>
      <w:lvlText w:val="o"/>
      <w:lvlJc w:val="left"/>
      <w:pPr>
        <w:ind w:left="6469" w:hanging="360"/>
      </w:pPr>
      <w:rPr>
        <w:rFonts w:ascii="Courier New" w:hAnsi="Courier New" w:cs="Courier New" w:hint="default"/>
      </w:rPr>
    </w:lvl>
    <w:lvl w:ilvl="8" w:tplc="0C0A0005">
      <w:start w:val="1"/>
      <w:numFmt w:val="bullet"/>
      <w:lvlText w:val=""/>
      <w:lvlJc w:val="left"/>
      <w:pPr>
        <w:ind w:left="7189" w:hanging="360"/>
      </w:pPr>
      <w:rPr>
        <w:rFonts w:ascii="Wingdings" w:hAnsi="Wingdings" w:hint="default"/>
      </w:rPr>
    </w:lvl>
  </w:abstractNum>
  <w:abstractNum w:abstractNumId="8" w15:restartNumberingAfterBreak="0">
    <w:nsid w:val="6AEF3178"/>
    <w:multiLevelType w:val="hybridMultilevel"/>
    <w:tmpl w:val="E7CE4D52"/>
    <w:lvl w:ilvl="0" w:tplc="4D66D5FC">
      <w:start w:val="30"/>
      <w:numFmt w:val="bullet"/>
      <w:lvlText w:val="-"/>
      <w:lvlJc w:val="left"/>
      <w:pPr>
        <w:tabs>
          <w:tab w:val="num" w:pos="720"/>
        </w:tabs>
        <w:ind w:left="720" w:hanging="360"/>
      </w:pPr>
      <w:rPr>
        <w:rFonts w:ascii="Arial" w:eastAsiaTheme="minorHAnsi" w:hAnsi="Aria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474442246">
    <w:abstractNumId w:val="8"/>
  </w:num>
  <w:num w:numId="2" w16cid:durableId="1748917496">
    <w:abstractNumId w:val="6"/>
  </w:num>
  <w:num w:numId="3" w16cid:durableId="1353149153">
    <w:abstractNumId w:val="3"/>
  </w:num>
  <w:num w:numId="4" w16cid:durableId="1618753970">
    <w:abstractNumId w:val="5"/>
  </w:num>
  <w:num w:numId="5" w16cid:durableId="867833163">
    <w:abstractNumId w:val="1"/>
  </w:num>
  <w:num w:numId="6" w16cid:durableId="1295136555">
    <w:abstractNumId w:val="0"/>
  </w:num>
  <w:num w:numId="7" w16cid:durableId="543104116">
    <w:abstractNumId w:val="4"/>
  </w:num>
  <w:num w:numId="8" w16cid:durableId="645545341">
    <w:abstractNumId w:val="7"/>
  </w:num>
  <w:num w:numId="9" w16cid:durableId="270363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D71"/>
    <w:rsid w:val="000470F2"/>
    <w:rsid w:val="0005060E"/>
    <w:rsid w:val="00051EC8"/>
    <w:rsid w:val="0007310B"/>
    <w:rsid w:val="000749BB"/>
    <w:rsid w:val="000776E3"/>
    <w:rsid w:val="00090C4E"/>
    <w:rsid w:val="000A419F"/>
    <w:rsid w:val="000E69F8"/>
    <w:rsid w:val="00124D33"/>
    <w:rsid w:val="00130DBC"/>
    <w:rsid w:val="00140C26"/>
    <w:rsid w:val="001410D4"/>
    <w:rsid w:val="001546FA"/>
    <w:rsid w:val="00160061"/>
    <w:rsid w:val="00165303"/>
    <w:rsid w:val="001665DE"/>
    <w:rsid w:val="00186726"/>
    <w:rsid w:val="00187C8F"/>
    <w:rsid w:val="001A3B77"/>
    <w:rsid w:val="001B4B1E"/>
    <w:rsid w:val="001C460F"/>
    <w:rsid w:val="001D1EEF"/>
    <w:rsid w:val="002078EF"/>
    <w:rsid w:val="00207D67"/>
    <w:rsid w:val="00214AE6"/>
    <w:rsid w:val="00227D8E"/>
    <w:rsid w:val="00240249"/>
    <w:rsid w:val="00252D70"/>
    <w:rsid w:val="00261448"/>
    <w:rsid w:val="00271F7C"/>
    <w:rsid w:val="00276A82"/>
    <w:rsid w:val="002778A8"/>
    <w:rsid w:val="00281E25"/>
    <w:rsid w:val="00294BB6"/>
    <w:rsid w:val="002C7D1A"/>
    <w:rsid w:val="002D2CC4"/>
    <w:rsid w:val="002D3BEF"/>
    <w:rsid w:val="002F3E79"/>
    <w:rsid w:val="0032133F"/>
    <w:rsid w:val="00322DE2"/>
    <w:rsid w:val="00353788"/>
    <w:rsid w:val="00355A84"/>
    <w:rsid w:val="00380851"/>
    <w:rsid w:val="00386CCE"/>
    <w:rsid w:val="003D1381"/>
    <w:rsid w:val="003E69FF"/>
    <w:rsid w:val="003F5B0A"/>
    <w:rsid w:val="00437B59"/>
    <w:rsid w:val="004619F4"/>
    <w:rsid w:val="00481CC6"/>
    <w:rsid w:val="0049729F"/>
    <w:rsid w:val="004B6EA1"/>
    <w:rsid w:val="004C1995"/>
    <w:rsid w:val="004C2E04"/>
    <w:rsid w:val="004E5B43"/>
    <w:rsid w:val="004F105F"/>
    <w:rsid w:val="0050597F"/>
    <w:rsid w:val="0050751F"/>
    <w:rsid w:val="00520917"/>
    <w:rsid w:val="00523135"/>
    <w:rsid w:val="00524E49"/>
    <w:rsid w:val="005278C7"/>
    <w:rsid w:val="00581B1A"/>
    <w:rsid w:val="005833AF"/>
    <w:rsid w:val="005A0EF0"/>
    <w:rsid w:val="005A2B05"/>
    <w:rsid w:val="005A42AC"/>
    <w:rsid w:val="005C2076"/>
    <w:rsid w:val="005C7EA3"/>
    <w:rsid w:val="005F110E"/>
    <w:rsid w:val="00607AD9"/>
    <w:rsid w:val="006151DF"/>
    <w:rsid w:val="00653F47"/>
    <w:rsid w:val="006612BC"/>
    <w:rsid w:val="00686900"/>
    <w:rsid w:val="00687C19"/>
    <w:rsid w:val="006D3291"/>
    <w:rsid w:val="006E0ADD"/>
    <w:rsid w:val="006F1AD9"/>
    <w:rsid w:val="00713C8D"/>
    <w:rsid w:val="00714E7E"/>
    <w:rsid w:val="00733899"/>
    <w:rsid w:val="00743FBC"/>
    <w:rsid w:val="007564DD"/>
    <w:rsid w:val="007C36F3"/>
    <w:rsid w:val="007D3ECD"/>
    <w:rsid w:val="007F2F88"/>
    <w:rsid w:val="008139A4"/>
    <w:rsid w:val="0083748B"/>
    <w:rsid w:val="0084259B"/>
    <w:rsid w:val="0085066F"/>
    <w:rsid w:val="008521E3"/>
    <w:rsid w:val="00860D71"/>
    <w:rsid w:val="00872C46"/>
    <w:rsid w:val="00877087"/>
    <w:rsid w:val="00891979"/>
    <w:rsid w:val="0089471B"/>
    <w:rsid w:val="008A1DBB"/>
    <w:rsid w:val="008A33DC"/>
    <w:rsid w:val="008B33F2"/>
    <w:rsid w:val="008B516B"/>
    <w:rsid w:val="008D591E"/>
    <w:rsid w:val="008E52FE"/>
    <w:rsid w:val="008F0D24"/>
    <w:rsid w:val="0090456F"/>
    <w:rsid w:val="00910280"/>
    <w:rsid w:val="00922C46"/>
    <w:rsid w:val="009305BB"/>
    <w:rsid w:val="009419A1"/>
    <w:rsid w:val="00946584"/>
    <w:rsid w:val="00951F95"/>
    <w:rsid w:val="009526CD"/>
    <w:rsid w:val="00962678"/>
    <w:rsid w:val="009828AF"/>
    <w:rsid w:val="0099757C"/>
    <w:rsid w:val="009A479D"/>
    <w:rsid w:val="009C011F"/>
    <w:rsid w:val="009C7A7C"/>
    <w:rsid w:val="009C7D3B"/>
    <w:rsid w:val="009D5FEB"/>
    <w:rsid w:val="009F3B01"/>
    <w:rsid w:val="00A2293B"/>
    <w:rsid w:val="00A237B0"/>
    <w:rsid w:val="00A35D0A"/>
    <w:rsid w:val="00A35D83"/>
    <w:rsid w:val="00A90C46"/>
    <w:rsid w:val="00A91AB6"/>
    <w:rsid w:val="00A94179"/>
    <w:rsid w:val="00AD65E9"/>
    <w:rsid w:val="00AD7ED4"/>
    <w:rsid w:val="00B138BB"/>
    <w:rsid w:val="00B55779"/>
    <w:rsid w:val="00B61458"/>
    <w:rsid w:val="00B628E0"/>
    <w:rsid w:val="00B67D4E"/>
    <w:rsid w:val="00B77E14"/>
    <w:rsid w:val="00B95DEB"/>
    <w:rsid w:val="00B97011"/>
    <w:rsid w:val="00B973EE"/>
    <w:rsid w:val="00BC2F5E"/>
    <w:rsid w:val="00BC311D"/>
    <w:rsid w:val="00BF699A"/>
    <w:rsid w:val="00C032B8"/>
    <w:rsid w:val="00C251BA"/>
    <w:rsid w:val="00C316FD"/>
    <w:rsid w:val="00C45FC2"/>
    <w:rsid w:val="00C76A75"/>
    <w:rsid w:val="00C84A82"/>
    <w:rsid w:val="00CD06DD"/>
    <w:rsid w:val="00CD08E9"/>
    <w:rsid w:val="00CD610D"/>
    <w:rsid w:val="00CD6F75"/>
    <w:rsid w:val="00CE74ED"/>
    <w:rsid w:val="00CF3EF7"/>
    <w:rsid w:val="00D2049A"/>
    <w:rsid w:val="00D215D9"/>
    <w:rsid w:val="00D35090"/>
    <w:rsid w:val="00D5527E"/>
    <w:rsid w:val="00DA21B2"/>
    <w:rsid w:val="00DB0C8F"/>
    <w:rsid w:val="00DD0178"/>
    <w:rsid w:val="00DD0359"/>
    <w:rsid w:val="00DE2FF2"/>
    <w:rsid w:val="00DF00A8"/>
    <w:rsid w:val="00E06658"/>
    <w:rsid w:val="00E15B80"/>
    <w:rsid w:val="00E24B29"/>
    <w:rsid w:val="00E70B4A"/>
    <w:rsid w:val="00E70C1B"/>
    <w:rsid w:val="00E80794"/>
    <w:rsid w:val="00E82E68"/>
    <w:rsid w:val="00EB69C8"/>
    <w:rsid w:val="00EC421B"/>
    <w:rsid w:val="00F03599"/>
    <w:rsid w:val="00F21174"/>
    <w:rsid w:val="00F33008"/>
    <w:rsid w:val="00F77C99"/>
    <w:rsid w:val="00FB0433"/>
    <w:rsid w:val="00FB50F2"/>
    <w:rsid w:val="00FC0B76"/>
    <w:rsid w:val="00FC254C"/>
    <w:rsid w:val="00FE49F0"/>
  </w:rsids>
  <m:mathPr>
    <m:mathFont m:val="Cambria Math"/>
    <m:brkBin m:val="before"/>
    <m:brkBinSub m:val="--"/>
    <m:smallFrac/>
    <m:dispDef/>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09695"/>
  <w15:docId w15:val="{9CF1E4CE-61C5-4D9D-83DB-200B2BD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09A"/>
    <w:pPr>
      <w:jc w:val="both"/>
    </w:pPr>
    <w:rPr>
      <w:rFonts w:ascii="Arial" w:hAnsi="Arial"/>
      <w:sz w:val="22"/>
    </w:rPr>
  </w:style>
  <w:style w:type="paragraph" w:styleId="Ttulo2">
    <w:name w:val="heading 2"/>
    <w:basedOn w:val="Normal"/>
    <w:link w:val="Ttulo2Car"/>
    <w:uiPriority w:val="9"/>
    <w:qFormat/>
    <w:rsid w:val="00227D8E"/>
    <w:pPr>
      <w:spacing w:before="100" w:beforeAutospacing="1" w:after="100" w:afterAutospacing="1"/>
      <w:jc w:val="left"/>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60D71"/>
    <w:pPr>
      <w:tabs>
        <w:tab w:val="center" w:pos="4252"/>
        <w:tab w:val="right" w:pos="8504"/>
      </w:tabs>
      <w:spacing w:after="0"/>
    </w:pPr>
  </w:style>
  <w:style w:type="character" w:customStyle="1" w:styleId="EncabezadoCar">
    <w:name w:val="Encabezado Car"/>
    <w:basedOn w:val="Fuentedeprrafopredeter"/>
    <w:link w:val="Encabezado"/>
    <w:uiPriority w:val="99"/>
    <w:semiHidden/>
    <w:rsid w:val="00860D71"/>
    <w:rPr>
      <w:rFonts w:ascii="Arial" w:hAnsi="Arial"/>
      <w:sz w:val="22"/>
    </w:rPr>
  </w:style>
  <w:style w:type="paragraph" w:styleId="Piedepgina">
    <w:name w:val="footer"/>
    <w:basedOn w:val="Normal"/>
    <w:link w:val="PiedepginaCar"/>
    <w:uiPriority w:val="99"/>
    <w:semiHidden/>
    <w:unhideWhenUsed/>
    <w:rsid w:val="00860D71"/>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860D71"/>
    <w:rPr>
      <w:rFonts w:ascii="Arial" w:hAnsi="Arial"/>
      <w:sz w:val="22"/>
    </w:rPr>
  </w:style>
  <w:style w:type="character" w:customStyle="1" w:styleId="apple-converted-space">
    <w:name w:val="apple-converted-space"/>
    <w:basedOn w:val="Fuentedeprrafopredeter"/>
    <w:rsid w:val="007564DD"/>
  </w:style>
  <w:style w:type="character" w:styleId="Nmerodepgina">
    <w:name w:val="page number"/>
    <w:basedOn w:val="Fuentedeprrafopredeter"/>
    <w:uiPriority w:val="99"/>
    <w:semiHidden/>
    <w:unhideWhenUsed/>
    <w:rsid w:val="00877087"/>
  </w:style>
  <w:style w:type="paragraph" w:styleId="Textodeglobo">
    <w:name w:val="Balloon Text"/>
    <w:basedOn w:val="Normal"/>
    <w:link w:val="TextodegloboCar"/>
    <w:uiPriority w:val="99"/>
    <w:semiHidden/>
    <w:unhideWhenUsed/>
    <w:rsid w:val="00CD06DD"/>
    <w:pPr>
      <w:spacing w:after="0"/>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CD06DD"/>
    <w:rPr>
      <w:rFonts w:ascii="Lucida Grande" w:hAnsi="Lucida Grande"/>
      <w:sz w:val="18"/>
      <w:szCs w:val="18"/>
    </w:rPr>
  </w:style>
  <w:style w:type="paragraph" w:styleId="Prrafodelista">
    <w:name w:val="List Paragraph"/>
    <w:basedOn w:val="Normal"/>
    <w:uiPriority w:val="34"/>
    <w:qFormat/>
    <w:rsid w:val="004C2E04"/>
    <w:pPr>
      <w:ind w:left="720"/>
      <w:contextualSpacing/>
    </w:pPr>
  </w:style>
  <w:style w:type="character" w:styleId="Hipervnculo">
    <w:name w:val="Hyperlink"/>
    <w:basedOn w:val="Fuentedeprrafopredeter"/>
    <w:uiPriority w:val="99"/>
    <w:semiHidden/>
    <w:unhideWhenUsed/>
    <w:rsid w:val="00AD7ED4"/>
    <w:rPr>
      <w:color w:val="0000FF"/>
      <w:u w:val="single"/>
    </w:rPr>
  </w:style>
  <w:style w:type="character" w:styleId="Textoennegrita">
    <w:name w:val="Strong"/>
    <w:basedOn w:val="Fuentedeprrafopredeter"/>
    <w:uiPriority w:val="22"/>
    <w:qFormat/>
    <w:rsid w:val="00AD7ED4"/>
    <w:rPr>
      <w:b/>
      <w:bCs/>
    </w:rPr>
  </w:style>
  <w:style w:type="paragraph" w:styleId="NormalWeb">
    <w:name w:val="Normal (Web)"/>
    <w:basedOn w:val="Normal"/>
    <w:uiPriority w:val="99"/>
    <w:semiHidden/>
    <w:unhideWhenUsed/>
    <w:rsid w:val="00AD7ED4"/>
    <w:pPr>
      <w:spacing w:before="100" w:beforeAutospacing="1" w:after="100" w:afterAutospacing="1"/>
    </w:pPr>
    <w:rPr>
      <w:rFonts w:ascii="Times New Roman" w:eastAsia="Times New Roman" w:hAnsi="Times New Roman" w:cs="Times New Roman"/>
      <w:sz w:val="24"/>
      <w:lang w:val="es-ES" w:eastAsia="es-ES"/>
    </w:rPr>
  </w:style>
  <w:style w:type="paragraph" w:customStyle="1" w:styleId="aparienciatitulo">
    <w:name w:val="aparienciatitulo"/>
    <w:basedOn w:val="Normal"/>
    <w:rsid w:val="00AD7ED4"/>
    <w:pPr>
      <w:spacing w:before="100" w:beforeAutospacing="1" w:after="100" w:afterAutospacing="1"/>
    </w:pPr>
    <w:rPr>
      <w:rFonts w:ascii="Times New Roman" w:eastAsia="Times New Roman" w:hAnsi="Times New Roman" w:cs="Times New Roman"/>
      <w:sz w:val="24"/>
      <w:lang w:val="es-ES" w:eastAsia="es-ES"/>
    </w:rPr>
  </w:style>
  <w:style w:type="paragraph" w:styleId="Subttulo">
    <w:name w:val="Subtitle"/>
    <w:basedOn w:val="Normal"/>
    <w:link w:val="SubttuloCar"/>
    <w:qFormat/>
    <w:rsid w:val="00160061"/>
    <w:pPr>
      <w:spacing w:after="60" w:line="256" w:lineRule="auto"/>
      <w:jc w:val="center"/>
      <w:outlineLvl w:val="1"/>
    </w:pPr>
    <w:rPr>
      <w:rFonts w:cs="Arial"/>
      <w:sz w:val="24"/>
      <w:lang w:val="es-ES"/>
    </w:rPr>
  </w:style>
  <w:style w:type="character" w:customStyle="1" w:styleId="SubttuloCar">
    <w:name w:val="Subtítulo Car"/>
    <w:basedOn w:val="Fuentedeprrafopredeter"/>
    <w:link w:val="Subttulo"/>
    <w:rsid w:val="00160061"/>
    <w:rPr>
      <w:rFonts w:ascii="Arial" w:hAnsi="Arial" w:cs="Arial"/>
      <w:lang w:val="es-ES"/>
    </w:rPr>
  </w:style>
  <w:style w:type="paragraph" w:styleId="Sangradetextonormal">
    <w:name w:val="Body Text Indent"/>
    <w:basedOn w:val="Normal"/>
    <w:link w:val="SangradetextonormalCar"/>
    <w:uiPriority w:val="99"/>
    <w:unhideWhenUsed/>
    <w:rsid w:val="00160061"/>
    <w:pPr>
      <w:spacing w:after="120" w:line="259" w:lineRule="auto"/>
      <w:ind w:left="283"/>
      <w:jc w:val="left"/>
    </w:pPr>
    <w:rPr>
      <w:rFonts w:asciiTheme="minorHAnsi" w:hAnsiTheme="minorHAnsi"/>
      <w:szCs w:val="22"/>
      <w:lang w:val="es-ES"/>
    </w:rPr>
  </w:style>
  <w:style w:type="character" w:customStyle="1" w:styleId="SangradetextonormalCar">
    <w:name w:val="Sangría de texto normal Car"/>
    <w:basedOn w:val="Fuentedeprrafopredeter"/>
    <w:link w:val="Sangradetextonormal"/>
    <w:uiPriority w:val="99"/>
    <w:rsid w:val="00160061"/>
    <w:rPr>
      <w:sz w:val="22"/>
      <w:szCs w:val="22"/>
      <w:lang w:val="es-ES"/>
    </w:rPr>
  </w:style>
  <w:style w:type="paragraph" w:customStyle="1" w:styleId="Default">
    <w:name w:val="Default"/>
    <w:rsid w:val="005278C7"/>
    <w:pPr>
      <w:autoSpaceDE w:val="0"/>
      <w:autoSpaceDN w:val="0"/>
      <w:adjustRightInd w:val="0"/>
      <w:spacing w:after="0"/>
    </w:pPr>
    <w:rPr>
      <w:rFonts w:ascii="Calibri" w:hAnsi="Calibri" w:cs="Calibri"/>
      <w:color w:val="000000"/>
      <w:lang w:val="es-ES"/>
    </w:rPr>
  </w:style>
  <w:style w:type="paragraph" w:customStyle="1" w:styleId="ENTRADILLAyLOCALIZADOR">
    <w:name w:val="ENTRADILLA y  LOCALIZADOR"/>
    <w:basedOn w:val="Normal"/>
    <w:qFormat/>
    <w:rsid w:val="000E69F8"/>
    <w:pPr>
      <w:pBdr>
        <w:bottom w:val="single" w:sz="2" w:space="1" w:color="auto"/>
      </w:pBdr>
      <w:spacing w:before="240" w:after="240"/>
      <w:ind w:left="425"/>
      <w:jc w:val="left"/>
    </w:pPr>
    <w:rPr>
      <w:rFonts w:ascii="Arial Narrow" w:eastAsia="Times New Roman" w:hAnsi="Arial Narrow" w:cs="Times New Roman"/>
      <w:sz w:val="24"/>
      <w:lang w:val="es-ES" w:eastAsia="es-ES"/>
    </w:rPr>
  </w:style>
  <w:style w:type="paragraph" w:customStyle="1" w:styleId="Textobase">
    <w:name w:val="Texto base"/>
    <w:basedOn w:val="Normal"/>
    <w:link w:val="TextobaseCar"/>
    <w:qFormat/>
    <w:rsid w:val="00C84A82"/>
    <w:pPr>
      <w:autoSpaceDE w:val="0"/>
      <w:autoSpaceDN w:val="0"/>
      <w:adjustRightInd w:val="0"/>
      <w:spacing w:after="120" w:line="300" w:lineRule="exact"/>
    </w:pPr>
    <w:rPr>
      <w:rFonts w:eastAsia="Times New Roman" w:cs="Arial"/>
      <w:szCs w:val="22"/>
      <w:lang w:val="es-ES" w:eastAsia="es-ES"/>
    </w:rPr>
  </w:style>
  <w:style w:type="character" w:customStyle="1" w:styleId="TextobaseCar">
    <w:name w:val="Texto base Car"/>
    <w:link w:val="Textobase"/>
    <w:rsid w:val="00C84A82"/>
    <w:rPr>
      <w:rFonts w:ascii="Arial" w:eastAsia="Times New Roman" w:hAnsi="Arial" w:cs="Arial"/>
      <w:sz w:val="22"/>
      <w:szCs w:val="22"/>
      <w:lang w:val="es-ES" w:eastAsia="es-ES"/>
    </w:rPr>
  </w:style>
  <w:style w:type="paragraph" w:customStyle="1" w:styleId="Titlulook">
    <w:name w:val="Titlulo ok"/>
    <w:basedOn w:val="Normal"/>
    <w:qFormat/>
    <w:rsid w:val="001B4B1E"/>
    <w:pPr>
      <w:spacing w:after="360" w:line="255" w:lineRule="atLeast"/>
      <w:ind w:right="-142"/>
      <w:jc w:val="left"/>
    </w:pPr>
    <w:rPr>
      <w:rFonts w:ascii="Arial Narrow" w:eastAsia="Times New Roman" w:hAnsi="Arial Narrow" w:cs="Arial"/>
      <w:bCs/>
      <w:sz w:val="48"/>
      <w:szCs w:val="48"/>
      <w:lang w:val="es-ES" w:eastAsia="es-ES"/>
    </w:rPr>
  </w:style>
  <w:style w:type="character" w:customStyle="1" w:styleId="Ttulo2Car">
    <w:name w:val="Título 2 Car"/>
    <w:basedOn w:val="Fuentedeprrafopredeter"/>
    <w:link w:val="Ttulo2"/>
    <w:uiPriority w:val="9"/>
    <w:rsid w:val="00227D8E"/>
    <w:rPr>
      <w:rFonts w:ascii="Times New Roman" w:eastAsia="Times New Roman" w:hAnsi="Times New Roman" w:cs="Times New Roman"/>
      <w:b/>
      <w:bCs/>
      <w:sz w:val="36"/>
      <w:szCs w:val="36"/>
      <w:lang w:val="es-ES" w:eastAsia="es-ES"/>
    </w:rPr>
  </w:style>
  <w:style w:type="paragraph" w:customStyle="1" w:styleId="paragraph">
    <w:name w:val="paragraph"/>
    <w:basedOn w:val="Normal"/>
    <w:rsid w:val="00227D8E"/>
    <w:pPr>
      <w:spacing w:before="100" w:beforeAutospacing="1" w:after="100" w:afterAutospacing="1"/>
      <w:jc w:val="left"/>
    </w:pPr>
    <w:rPr>
      <w:rFonts w:ascii="Times New Roman" w:eastAsia="Times New Roman" w:hAnsi="Times New Roman" w:cs="Times New Roman"/>
      <w:sz w:val="24"/>
      <w:lang w:val="es-ES" w:eastAsia="es-ES"/>
    </w:rPr>
  </w:style>
  <w:style w:type="paragraph" w:customStyle="1" w:styleId="c-detailsumarioepigraph">
    <w:name w:val="c-detail__sumario__epigraph"/>
    <w:basedOn w:val="Normal"/>
    <w:rsid w:val="00227D8E"/>
    <w:pPr>
      <w:spacing w:before="100" w:beforeAutospacing="1" w:after="100" w:afterAutospacing="1"/>
      <w:jc w:val="left"/>
    </w:pPr>
    <w:rPr>
      <w:rFonts w:ascii="Times New Roman" w:eastAsia="Times New Roman" w:hAnsi="Times New Roman" w:cs="Times New Roman"/>
      <w:sz w:val="24"/>
      <w:lang w:val="es-ES" w:eastAsia="es-ES"/>
    </w:rPr>
  </w:style>
  <w:style w:type="paragraph" w:styleId="Textoindependiente">
    <w:name w:val="Body Text"/>
    <w:basedOn w:val="Normal"/>
    <w:link w:val="TextoindependienteCar"/>
    <w:uiPriority w:val="99"/>
    <w:semiHidden/>
    <w:unhideWhenUsed/>
    <w:rsid w:val="0085066F"/>
    <w:pPr>
      <w:spacing w:after="120"/>
    </w:pPr>
  </w:style>
  <w:style w:type="character" w:customStyle="1" w:styleId="TextoindependienteCar">
    <w:name w:val="Texto independiente Car"/>
    <w:basedOn w:val="Fuentedeprrafopredeter"/>
    <w:link w:val="Textoindependiente"/>
    <w:uiPriority w:val="99"/>
    <w:semiHidden/>
    <w:rsid w:val="0085066F"/>
    <w:rPr>
      <w:rFonts w:ascii="Arial" w:hAnsi="Arial"/>
      <w:sz w:val="22"/>
    </w:rPr>
  </w:style>
  <w:style w:type="table" w:styleId="Tablaconcuadrcula">
    <w:name w:val="Table Grid"/>
    <w:basedOn w:val="Tablanormal"/>
    <w:uiPriority w:val="39"/>
    <w:rsid w:val="005F110E"/>
    <w:pPr>
      <w:spacing w:after="0"/>
    </w:pPr>
    <w:rPr>
      <w:rFonts w:ascii="Aptos" w:eastAsia="Aptos" w:hAnsi="Aptos" w:cs="Aptos"/>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14447">
      <w:bodyDiv w:val="1"/>
      <w:marLeft w:val="0"/>
      <w:marRight w:val="0"/>
      <w:marTop w:val="0"/>
      <w:marBottom w:val="0"/>
      <w:divBdr>
        <w:top w:val="none" w:sz="0" w:space="0" w:color="auto"/>
        <w:left w:val="none" w:sz="0" w:space="0" w:color="auto"/>
        <w:bottom w:val="none" w:sz="0" w:space="0" w:color="auto"/>
        <w:right w:val="none" w:sz="0" w:space="0" w:color="auto"/>
      </w:divBdr>
    </w:div>
    <w:div w:id="102458548">
      <w:bodyDiv w:val="1"/>
      <w:marLeft w:val="0"/>
      <w:marRight w:val="0"/>
      <w:marTop w:val="0"/>
      <w:marBottom w:val="0"/>
      <w:divBdr>
        <w:top w:val="none" w:sz="0" w:space="0" w:color="auto"/>
        <w:left w:val="none" w:sz="0" w:space="0" w:color="auto"/>
        <w:bottom w:val="none" w:sz="0" w:space="0" w:color="auto"/>
        <w:right w:val="none" w:sz="0" w:space="0" w:color="auto"/>
      </w:divBdr>
    </w:div>
    <w:div w:id="349257572">
      <w:bodyDiv w:val="1"/>
      <w:marLeft w:val="0"/>
      <w:marRight w:val="0"/>
      <w:marTop w:val="0"/>
      <w:marBottom w:val="0"/>
      <w:divBdr>
        <w:top w:val="none" w:sz="0" w:space="0" w:color="auto"/>
        <w:left w:val="none" w:sz="0" w:space="0" w:color="auto"/>
        <w:bottom w:val="none" w:sz="0" w:space="0" w:color="auto"/>
        <w:right w:val="none" w:sz="0" w:space="0" w:color="auto"/>
      </w:divBdr>
      <w:divsChild>
        <w:div w:id="260601938">
          <w:marLeft w:val="0"/>
          <w:marRight w:val="0"/>
          <w:marTop w:val="0"/>
          <w:marBottom w:val="0"/>
          <w:divBdr>
            <w:top w:val="none" w:sz="0" w:space="0" w:color="auto"/>
            <w:left w:val="none" w:sz="0" w:space="0" w:color="auto"/>
            <w:bottom w:val="none" w:sz="0" w:space="0" w:color="auto"/>
            <w:right w:val="none" w:sz="0" w:space="0" w:color="auto"/>
          </w:divBdr>
          <w:divsChild>
            <w:div w:id="1796095988">
              <w:marLeft w:val="0"/>
              <w:marRight w:val="0"/>
              <w:marTop w:val="0"/>
              <w:marBottom w:val="0"/>
              <w:divBdr>
                <w:top w:val="single" w:sz="2" w:space="8" w:color="E2E6EA"/>
                <w:left w:val="single" w:sz="2" w:space="8" w:color="E2E6EA"/>
                <w:bottom w:val="single" w:sz="2" w:space="8" w:color="E2E6EA"/>
                <w:right w:val="single" w:sz="2" w:space="8" w:color="E2E6EA"/>
              </w:divBdr>
              <w:divsChild>
                <w:div w:id="110561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785826">
      <w:bodyDiv w:val="1"/>
      <w:marLeft w:val="0"/>
      <w:marRight w:val="0"/>
      <w:marTop w:val="0"/>
      <w:marBottom w:val="0"/>
      <w:divBdr>
        <w:top w:val="none" w:sz="0" w:space="0" w:color="auto"/>
        <w:left w:val="none" w:sz="0" w:space="0" w:color="auto"/>
        <w:bottom w:val="none" w:sz="0" w:space="0" w:color="auto"/>
        <w:right w:val="none" w:sz="0" w:space="0" w:color="auto"/>
      </w:divBdr>
    </w:div>
    <w:div w:id="530650076">
      <w:bodyDiv w:val="1"/>
      <w:marLeft w:val="0"/>
      <w:marRight w:val="0"/>
      <w:marTop w:val="0"/>
      <w:marBottom w:val="0"/>
      <w:divBdr>
        <w:top w:val="none" w:sz="0" w:space="0" w:color="auto"/>
        <w:left w:val="none" w:sz="0" w:space="0" w:color="auto"/>
        <w:bottom w:val="none" w:sz="0" w:space="0" w:color="auto"/>
        <w:right w:val="none" w:sz="0" w:space="0" w:color="auto"/>
      </w:divBdr>
    </w:div>
    <w:div w:id="585727991">
      <w:bodyDiv w:val="1"/>
      <w:marLeft w:val="0"/>
      <w:marRight w:val="0"/>
      <w:marTop w:val="0"/>
      <w:marBottom w:val="0"/>
      <w:divBdr>
        <w:top w:val="none" w:sz="0" w:space="0" w:color="auto"/>
        <w:left w:val="none" w:sz="0" w:space="0" w:color="auto"/>
        <w:bottom w:val="none" w:sz="0" w:space="0" w:color="auto"/>
        <w:right w:val="none" w:sz="0" w:space="0" w:color="auto"/>
      </w:divBdr>
    </w:div>
    <w:div w:id="612639626">
      <w:bodyDiv w:val="1"/>
      <w:marLeft w:val="0"/>
      <w:marRight w:val="0"/>
      <w:marTop w:val="0"/>
      <w:marBottom w:val="0"/>
      <w:divBdr>
        <w:top w:val="none" w:sz="0" w:space="0" w:color="auto"/>
        <w:left w:val="none" w:sz="0" w:space="0" w:color="auto"/>
        <w:bottom w:val="none" w:sz="0" w:space="0" w:color="auto"/>
        <w:right w:val="none" w:sz="0" w:space="0" w:color="auto"/>
      </w:divBdr>
    </w:div>
    <w:div w:id="744456069">
      <w:bodyDiv w:val="1"/>
      <w:marLeft w:val="0"/>
      <w:marRight w:val="0"/>
      <w:marTop w:val="0"/>
      <w:marBottom w:val="0"/>
      <w:divBdr>
        <w:top w:val="none" w:sz="0" w:space="0" w:color="auto"/>
        <w:left w:val="none" w:sz="0" w:space="0" w:color="auto"/>
        <w:bottom w:val="none" w:sz="0" w:space="0" w:color="auto"/>
        <w:right w:val="none" w:sz="0" w:space="0" w:color="auto"/>
      </w:divBdr>
    </w:div>
    <w:div w:id="760878985">
      <w:bodyDiv w:val="1"/>
      <w:marLeft w:val="0"/>
      <w:marRight w:val="0"/>
      <w:marTop w:val="0"/>
      <w:marBottom w:val="0"/>
      <w:divBdr>
        <w:top w:val="none" w:sz="0" w:space="0" w:color="auto"/>
        <w:left w:val="none" w:sz="0" w:space="0" w:color="auto"/>
        <w:bottom w:val="none" w:sz="0" w:space="0" w:color="auto"/>
        <w:right w:val="none" w:sz="0" w:space="0" w:color="auto"/>
      </w:divBdr>
    </w:div>
    <w:div w:id="798498125">
      <w:bodyDiv w:val="1"/>
      <w:marLeft w:val="0"/>
      <w:marRight w:val="0"/>
      <w:marTop w:val="0"/>
      <w:marBottom w:val="0"/>
      <w:divBdr>
        <w:top w:val="none" w:sz="0" w:space="0" w:color="auto"/>
        <w:left w:val="none" w:sz="0" w:space="0" w:color="auto"/>
        <w:bottom w:val="none" w:sz="0" w:space="0" w:color="auto"/>
        <w:right w:val="none" w:sz="0" w:space="0" w:color="auto"/>
      </w:divBdr>
    </w:div>
    <w:div w:id="882057621">
      <w:bodyDiv w:val="1"/>
      <w:marLeft w:val="0"/>
      <w:marRight w:val="0"/>
      <w:marTop w:val="0"/>
      <w:marBottom w:val="0"/>
      <w:divBdr>
        <w:top w:val="none" w:sz="0" w:space="0" w:color="auto"/>
        <w:left w:val="none" w:sz="0" w:space="0" w:color="auto"/>
        <w:bottom w:val="none" w:sz="0" w:space="0" w:color="auto"/>
        <w:right w:val="none" w:sz="0" w:space="0" w:color="auto"/>
      </w:divBdr>
    </w:div>
    <w:div w:id="1137801961">
      <w:bodyDiv w:val="1"/>
      <w:marLeft w:val="0"/>
      <w:marRight w:val="0"/>
      <w:marTop w:val="0"/>
      <w:marBottom w:val="0"/>
      <w:divBdr>
        <w:top w:val="none" w:sz="0" w:space="0" w:color="auto"/>
        <w:left w:val="none" w:sz="0" w:space="0" w:color="auto"/>
        <w:bottom w:val="none" w:sz="0" w:space="0" w:color="auto"/>
        <w:right w:val="none" w:sz="0" w:space="0" w:color="auto"/>
      </w:divBdr>
    </w:div>
    <w:div w:id="1424766170">
      <w:bodyDiv w:val="1"/>
      <w:marLeft w:val="0"/>
      <w:marRight w:val="0"/>
      <w:marTop w:val="0"/>
      <w:marBottom w:val="0"/>
      <w:divBdr>
        <w:top w:val="none" w:sz="0" w:space="0" w:color="auto"/>
        <w:left w:val="none" w:sz="0" w:space="0" w:color="auto"/>
        <w:bottom w:val="none" w:sz="0" w:space="0" w:color="auto"/>
        <w:right w:val="none" w:sz="0" w:space="0" w:color="auto"/>
      </w:divBdr>
    </w:div>
    <w:div w:id="1525483165">
      <w:bodyDiv w:val="1"/>
      <w:marLeft w:val="0"/>
      <w:marRight w:val="0"/>
      <w:marTop w:val="0"/>
      <w:marBottom w:val="0"/>
      <w:divBdr>
        <w:top w:val="none" w:sz="0" w:space="0" w:color="auto"/>
        <w:left w:val="none" w:sz="0" w:space="0" w:color="auto"/>
        <w:bottom w:val="none" w:sz="0" w:space="0" w:color="auto"/>
        <w:right w:val="none" w:sz="0" w:space="0" w:color="auto"/>
      </w:divBdr>
      <w:divsChild>
        <w:div w:id="1049645531">
          <w:marLeft w:val="0"/>
          <w:marRight w:val="0"/>
          <w:marTop w:val="450"/>
          <w:marBottom w:val="150"/>
          <w:divBdr>
            <w:top w:val="none" w:sz="0" w:space="0" w:color="auto"/>
            <w:left w:val="none" w:sz="0" w:space="0" w:color="auto"/>
            <w:bottom w:val="none" w:sz="0" w:space="0" w:color="auto"/>
            <w:right w:val="none" w:sz="0" w:space="0" w:color="auto"/>
          </w:divBdr>
          <w:divsChild>
            <w:div w:id="933971828">
              <w:marLeft w:val="0"/>
              <w:marRight w:val="0"/>
              <w:marTop w:val="0"/>
              <w:marBottom w:val="0"/>
              <w:divBdr>
                <w:top w:val="none" w:sz="0" w:space="0" w:color="auto"/>
                <w:left w:val="none" w:sz="0" w:space="0" w:color="auto"/>
                <w:bottom w:val="none" w:sz="0" w:space="0" w:color="auto"/>
                <w:right w:val="none" w:sz="0" w:space="0" w:color="auto"/>
              </w:divBdr>
              <w:divsChild>
                <w:div w:id="644774792">
                  <w:marLeft w:val="0"/>
                  <w:marRight w:val="0"/>
                  <w:marTop w:val="0"/>
                  <w:marBottom w:val="0"/>
                  <w:divBdr>
                    <w:top w:val="none" w:sz="0" w:space="0" w:color="auto"/>
                    <w:left w:val="none" w:sz="0" w:space="0" w:color="auto"/>
                    <w:bottom w:val="none" w:sz="0" w:space="0" w:color="auto"/>
                    <w:right w:val="none" w:sz="0" w:space="0" w:color="auto"/>
                  </w:divBdr>
                  <w:divsChild>
                    <w:div w:id="282924355">
                      <w:marLeft w:val="0"/>
                      <w:marRight w:val="0"/>
                      <w:marTop w:val="0"/>
                      <w:marBottom w:val="0"/>
                      <w:divBdr>
                        <w:top w:val="none" w:sz="0" w:space="0" w:color="auto"/>
                        <w:left w:val="none" w:sz="0" w:space="0" w:color="auto"/>
                        <w:bottom w:val="none" w:sz="0" w:space="0" w:color="auto"/>
                        <w:right w:val="none" w:sz="0" w:space="0" w:color="auto"/>
                      </w:divBdr>
                      <w:divsChild>
                        <w:div w:id="1438871610">
                          <w:marLeft w:val="0"/>
                          <w:marRight w:val="0"/>
                          <w:marTop w:val="30"/>
                          <w:marBottom w:val="75"/>
                          <w:divBdr>
                            <w:top w:val="none" w:sz="0" w:space="0" w:color="auto"/>
                            <w:left w:val="none" w:sz="0" w:space="0" w:color="auto"/>
                            <w:bottom w:val="none" w:sz="0" w:space="0" w:color="auto"/>
                            <w:right w:val="none" w:sz="0" w:space="0" w:color="auto"/>
                          </w:divBdr>
                          <w:divsChild>
                            <w:div w:id="322125267">
                              <w:marLeft w:val="0"/>
                              <w:marRight w:val="0"/>
                              <w:marTop w:val="0"/>
                              <w:marBottom w:val="0"/>
                              <w:divBdr>
                                <w:top w:val="none" w:sz="0" w:space="0" w:color="auto"/>
                                <w:left w:val="none" w:sz="0" w:space="0" w:color="auto"/>
                                <w:bottom w:val="none" w:sz="0" w:space="0" w:color="auto"/>
                                <w:right w:val="none" w:sz="0" w:space="0" w:color="auto"/>
                              </w:divBdr>
                              <w:divsChild>
                                <w:div w:id="9629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0959675">
      <w:bodyDiv w:val="1"/>
      <w:marLeft w:val="0"/>
      <w:marRight w:val="0"/>
      <w:marTop w:val="0"/>
      <w:marBottom w:val="0"/>
      <w:divBdr>
        <w:top w:val="none" w:sz="0" w:space="0" w:color="auto"/>
        <w:left w:val="none" w:sz="0" w:space="0" w:color="auto"/>
        <w:bottom w:val="none" w:sz="0" w:space="0" w:color="auto"/>
        <w:right w:val="none" w:sz="0" w:space="0" w:color="auto"/>
      </w:divBdr>
    </w:div>
    <w:div w:id="1694839075">
      <w:bodyDiv w:val="1"/>
      <w:marLeft w:val="0"/>
      <w:marRight w:val="0"/>
      <w:marTop w:val="0"/>
      <w:marBottom w:val="0"/>
      <w:divBdr>
        <w:top w:val="none" w:sz="0" w:space="0" w:color="auto"/>
        <w:left w:val="none" w:sz="0" w:space="0" w:color="auto"/>
        <w:bottom w:val="none" w:sz="0" w:space="0" w:color="auto"/>
        <w:right w:val="none" w:sz="0" w:space="0" w:color="auto"/>
      </w:divBdr>
      <w:divsChild>
        <w:div w:id="1679964600">
          <w:marLeft w:val="0"/>
          <w:marRight w:val="0"/>
          <w:marTop w:val="0"/>
          <w:marBottom w:val="375"/>
          <w:divBdr>
            <w:top w:val="none" w:sz="0" w:space="0" w:color="auto"/>
            <w:left w:val="none" w:sz="0" w:space="0" w:color="auto"/>
            <w:bottom w:val="none" w:sz="0" w:space="0" w:color="auto"/>
            <w:right w:val="none" w:sz="0" w:space="0" w:color="auto"/>
          </w:divBdr>
        </w:div>
      </w:divsChild>
    </w:div>
    <w:div w:id="2064988829">
      <w:bodyDiv w:val="1"/>
      <w:marLeft w:val="0"/>
      <w:marRight w:val="0"/>
      <w:marTop w:val="0"/>
      <w:marBottom w:val="0"/>
      <w:divBdr>
        <w:top w:val="none" w:sz="0" w:space="0" w:color="auto"/>
        <w:left w:val="none" w:sz="0" w:space="0" w:color="auto"/>
        <w:bottom w:val="none" w:sz="0" w:space="0" w:color="auto"/>
        <w:right w:val="none" w:sz="0" w:space="0" w:color="auto"/>
      </w:divBdr>
    </w:div>
    <w:div w:id="2099594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A715E-914D-4D71-9543-397753176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915</Words>
  <Characters>5037</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JCYL</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cp:lastModifiedBy>Eva María Martínez Duque</cp:lastModifiedBy>
  <cp:revision>9</cp:revision>
  <cp:lastPrinted>2025-03-31T11:21:00Z</cp:lastPrinted>
  <dcterms:created xsi:type="dcterms:W3CDTF">2025-03-27T12:45:00Z</dcterms:created>
  <dcterms:modified xsi:type="dcterms:W3CDTF">2025-04-01T08:02:00Z</dcterms:modified>
</cp:coreProperties>
</file>